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0A2148"/>
          <w:sz w:val="34"/>
          <w:szCs w:val="34"/>
        </w:rPr>
        <w:t xml:space="preserve">Contrat de location — Logement meublé</w:t>
      </w:r>
    </w:p>
    <w:p>
      <w:pPr>
        <w:pBdr>
          <w:bottom w:val="single" w:color="C9A227" w:sz="12" w:space="6"/>
        </w:pBdr>
        <w:spacing w:after="220"/>
      </w:pPr>
      <w:r>
        <w:rPr>
          <w:rFonts w:ascii="Calibri" w:cs="Calibri" w:eastAsia="Calibri" w:hAnsi="Calibri"/>
          <w:caps/>
          <w:color w:val="6B7688"/>
          <w:spacing w:val="30"/>
          <w:sz w:val="18"/>
          <w:szCs w:val="18"/>
        </w:rPr>
        <w:t xml:space="preserve">Résidence principale · Bail meublé (durée 1 an)</w:t>
      </w:r>
    </w:p>
    <w:p>
      <w:pPr>
        <w:spacing w:after="120"/>
      </w:pPr>
      <w:r>
        <w:rPr>
          <w:rFonts w:ascii="Calibri" w:cs="Calibri" w:eastAsia="Calibri" w:hAnsi="Calibri"/>
          <w:i/>
          <w:iCs/>
          <w:color w:val="6B7688"/>
          <w:sz w:val="18"/>
          <w:szCs w:val="18"/>
        </w:rPr>
        <w:t xml:space="preserve">Contrat soumis au titre I bis de la loi n° 89-462 du 6 juillet 1989 et au décret n° 2015-587 du 29 mai 2015 relatif aux contrats types de location.</w:t>
      </w:r>
    </w:p>
    <w:p>
      <w:pPr>
        <w:spacing w:after="90" w:before="220"/>
      </w:pPr>
      <w:r>
        <w:rPr>
          <w:rFonts w:ascii="Calibri" w:cs="Calibri" w:eastAsia="Calibri" w:hAnsi="Calibri"/>
          <w:b/>
          <w:bCs/>
          <w:color w:val="0A2148"/>
          <w:sz w:val="24"/>
          <w:szCs w:val="24"/>
        </w:rPr>
        <w:t xml:space="preserve">I. Désignation des parties</w:t>
      </w:r>
    </w:p>
    <w:p>
      <w:pPr>
        <w:spacing w:after="110"/>
      </w:pPr>
      <w:r>
        <w:rPr>
          <w:rFonts w:ascii="Calibri" w:cs="Calibri" w:eastAsia="Calibri" w:hAnsi="Calibri"/>
          <w:b/>
          <w:bCs/>
          <w:color w:val="0A2148"/>
          <w:sz w:val="21"/>
          <w:szCs w:val="21"/>
        </w:rPr>
        <w:t xml:space="preserve">Le bailleur (nom, prénom ou raison sociale)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Domicile ou siège social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Le cas échéant, mandataire (nom et adresse)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Le locataire (nom, prénom) : </w:t>
      </w:r>
      <w:r>
        <w:rPr>
          <w:rFonts w:ascii="Calibri" w:cs="Calibri" w:eastAsia="Calibri" w:hAnsi="Calibri"/>
          <w:color w:val="9AA3B2"/>
          <w:sz w:val="21"/>
          <w:szCs w:val="21"/>
        </w:rPr>
        <w:t xml:space="preserve">………………………………………………………………</w:t>
      </w:r>
    </w:p>
    <w:p>
      <w:pPr>
        <w:spacing w:after="90" w:before="220"/>
      </w:pPr>
      <w:r>
        <w:rPr>
          <w:rFonts w:ascii="Calibri" w:cs="Calibri" w:eastAsia="Calibri" w:hAnsi="Calibri"/>
          <w:b/>
          <w:bCs/>
          <w:color w:val="0A2148"/>
          <w:sz w:val="24"/>
          <w:szCs w:val="24"/>
        </w:rPr>
        <w:t xml:space="preserve">II. Objet du contrat</w:t>
      </w:r>
    </w:p>
    <w:p>
      <w:pPr>
        <w:spacing w:after="120"/>
      </w:pPr>
      <w:r>
        <w:rPr>
          <w:rFonts w:ascii="Calibri" w:cs="Calibri" w:eastAsia="Calibri" w:hAnsi="Calibri"/>
          <w:color w:val="1F2A37"/>
          <w:sz w:val="21"/>
          <w:szCs w:val="21"/>
        </w:rPr>
        <w:t xml:space="preserve">Le bailleur loue au locataire, qui accepte, le logement meublé désigné ci-après, à usage exclusif de résidence principale.</w:t>
      </w:r>
    </w:p>
    <w:p>
      <w:pPr>
        <w:spacing w:after="110"/>
      </w:pPr>
      <w:r>
        <w:rPr>
          <w:rFonts w:ascii="Calibri" w:cs="Calibri" w:eastAsia="Calibri" w:hAnsi="Calibri"/>
          <w:b/>
          <w:bCs/>
          <w:color w:val="0A2148"/>
          <w:sz w:val="21"/>
          <w:szCs w:val="21"/>
        </w:rPr>
        <w:t xml:space="preserve">Adresse du logement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Type de logement (studio, T2…) et étage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Surface habitable (m²)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Nombre de pièces principales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Éléments d'équipement (cave, parking, autres)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Modalités de production de chauffage / eau chaude : </w:t>
      </w:r>
      <w:r>
        <w:rPr>
          <w:rFonts w:ascii="Calibri" w:cs="Calibri" w:eastAsia="Calibri" w:hAnsi="Calibri"/>
          <w:color w:val="9AA3B2"/>
          <w:sz w:val="21"/>
          <w:szCs w:val="21"/>
        </w:rPr>
        <w:t xml:space="preserve">………………………………………………………………</w:t>
      </w:r>
    </w:p>
    <w:p>
      <w:pPr>
        <w:spacing w:after="90" w:before="220"/>
      </w:pPr>
      <w:r>
        <w:rPr>
          <w:rFonts w:ascii="Calibri" w:cs="Calibri" w:eastAsia="Calibri" w:hAnsi="Calibri"/>
          <w:b/>
          <w:bCs/>
          <w:color w:val="0A2148"/>
          <w:sz w:val="24"/>
          <w:szCs w:val="24"/>
        </w:rPr>
        <w:t xml:space="preserve">III. Date de prise d'effet et durée</w:t>
      </w:r>
    </w:p>
    <w:p>
      <w:pPr>
        <w:spacing w:after="120"/>
      </w:pPr>
      <w:r>
        <w:rPr>
          <w:rFonts w:ascii="Calibri" w:cs="Calibri" w:eastAsia="Calibri" w:hAnsi="Calibri"/>
          <w:color w:val="1F2A37"/>
          <w:sz w:val="21"/>
          <w:szCs w:val="21"/>
        </w:rPr>
        <w:t xml:space="preserve">Le contrat est conclu pour une durée d'un an, renouvelable par tacite reconduction. Le locataire peut donner congé à tout moment avec un préavis d'un mois. Le bailleur peut donner congé pour l'échéance, avec un préavis de trois mois, dans les cas prévus par la loi (reprise, vente, motif légitime et sérieux).</w:t>
      </w:r>
    </w:p>
    <w:p>
      <w:pPr>
        <w:spacing w:after="110"/>
      </w:pPr>
      <w:r>
        <w:rPr>
          <w:rFonts w:ascii="Calibri" w:cs="Calibri" w:eastAsia="Calibri" w:hAnsi="Calibri"/>
          <w:b/>
          <w:bCs/>
          <w:color w:val="0A2148"/>
          <w:sz w:val="21"/>
          <w:szCs w:val="21"/>
        </w:rPr>
        <w:t xml:space="preserve">Date de prise d'effet : </w:t>
      </w:r>
      <w:r>
        <w:rPr>
          <w:rFonts w:ascii="Calibri" w:cs="Calibri" w:eastAsia="Calibri" w:hAnsi="Calibri"/>
          <w:color w:val="9AA3B2"/>
          <w:sz w:val="21"/>
          <w:szCs w:val="21"/>
        </w:rPr>
        <w:t xml:space="preserve">………………………………………………………………</w:t>
      </w:r>
    </w:p>
    <w:p>
      <w:pPr>
        <w:spacing w:after="90" w:before="220"/>
      </w:pPr>
      <w:r>
        <w:rPr>
          <w:rFonts w:ascii="Calibri" w:cs="Calibri" w:eastAsia="Calibri" w:hAnsi="Calibri"/>
          <w:b/>
          <w:bCs/>
          <w:color w:val="0A2148"/>
          <w:sz w:val="24"/>
          <w:szCs w:val="24"/>
        </w:rPr>
        <w:t xml:space="preserve">IV. Conditions financières</w:t>
      </w:r>
    </w:p>
    <w:p>
      <w:pPr>
        <w:spacing w:after="110"/>
      </w:pPr>
      <w:r>
        <w:rPr>
          <w:rFonts w:ascii="Calibri" w:cs="Calibri" w:eastAsia="Calibri" w:hAnsi="Calibri"/>
          <w:b/>
          <w:bCs/>
          <w:color w:val="0A2148"/>
          <w:sz w:val="21"/>
          <w:szCs w:val="21"/>
        </w:rPr>
        <w:t xml:space="preserve">Loyer mensuel hors charges (€)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Modalités de révision (indice IRL de référence et trimestre)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Provisions sur charges / forfait de charges (€)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Modalités de paiement (date, moyen) : </w:t>
      </w:r>
      <w:r>
        <w:rPr>
          <w:rFonts w:ascii="Calibri" w:cs="Calibri" w:eastAsia="Calibri" w:hAnsi="Calibri"/>
          <w:color w:val="9AA3B2"/>
          <w:sz w:val="21"/>
          <w:szCs w:val="21"/>
        </w:rPr>
        <w:t xml:space="preserve">………………………………………………………………</w:t>
      </w:r>
    </w:p>
    <w:p>
      <w:pPr>
        <w:spacing w:after="90" w:before="220"/>
      </w:pPr>
      <w:r>
        <w:rPr>
          <w:rFonts w:ascii="Calibri" w:cs="Calibri" w:eastAsia="Calibri" w:hAnsi="Calibri"/>
          <w:b/>
          <w:bCs/>
          <w:color w:val="0A2148"/>
          <w:sz w:val="24"/>
          <w:szCs w:val="24"/>
        </w:rPr>
        <w:t xml:space="preserve">V. Encadrement des loyers — Métropole de Lyon</w:t>
      </w:r>
    </w:p>
    <w:p>
      <w:pPr>
        <w:spacing w:after="120"/>
      </w:pPr>
      <w:r>
        <w:rPr>
          <w:rFonts w:ascii="Calibri" w:cs="Calibri" w:eastAsia="Calibri" w:hAnsi="Calibri"/>
          <w:color w:val="1F2A37"/>
          <w:sz w:val="21"/>
          <w:szCs w:val="21"/>
        </w:rPr>
        <w:t xml:space="preserve">Le logement est situé dans une zone d'encadrement des loyers. Le loyer de base ne peut excéder le loyer de référence majoré fixé par arrêté préfectoral. Un complément de loyer ne peut être appliqué que pour des caractéristiques exceptionnelles, dûment justifiées.</w:t>
      </w:r>
    </w:p>
    <w:p>
      <w:pPr>
        <w:spacing w:after="110"/>
      </w:pPr>
      <w:r>
        <w:rPr>
          <w:rFonts w:ascii="Calibri" w:cs="Calibri" w:eastAsia="Calibri" w:hAnsi="Calibri"/>
          <w:b/>
          <w:bCs/>
          <w:color w:val="0A2148"/>
          <w:sz w:val="21"/>
          <w:szCs w:val="21"/>
        </w:rPr>
        <w:t xml:space="preserve">Loyer de référence (€/m²)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Loyer de référence majoré (€/m²) : </w:t>
      </w:r>
      <w:r>
        <w:rPr>
          <w:rFonts w:ascii="Calibri" w:cs="Calibri" w:eastAsia="Calibri" w:hAnsi="Calibri"/>
          <w:color w:val="9AA3B2"/>
          <w:sz w:val="21"/>
          <w:szCs w:val="21"/>
        </w:rPr>
        <w:t xml:space="preserve">………………………………………………………………</w:t>
      </w:r>
    </w:p>
    <w:p>
      <w:pPr>
        <w:spacing w:after="110"/>
      </w:pPr>
      <w:r>
        <w:rPr>
          <w:rFonts w:ascii="Calibri" w:cs="Calibri" w:eastAsia="Calibri" w:hAnsi="Calibri"/>
          <w:b/>
          <w:bCs/>
          <w:color w:val="0A2148"/>
          <w:sz w:val="21"/>
          <w:szCs w:val="21"/>
        </w:rPr>
        <w:t xml:space="preserve">Complément de loyer éventuel et sa justification : </w:t>
      </w:r>
      <w:r>
        <w:rPr>
          <w:rFonts w:ascii="Calibri" w:cs="Calibri" w:eastAsia="Calibri" w:hAnsi="Calibri"/>
          <w:color w:val="9AA3B2"/>
          <w:sz w:val="21"/>
          <w:szCs w:val="21"/>
        </w:rPr>
        <w:t xml:space="preserve">………………………………………………………………</w:t>
      </w:r>
    </w:p>
    <w:p>
      <w:pPr>
        <w:spacing w:after="90" w:before="220"/>
      </w:pPr>
      <w:r>
        <w:rPr>
          <w:rFonts w:ascii="Calibri" w:cs="Calibri" w:eastAsia="Calibri" w:hAnsi="Calibri"/>
          <w:b/>
          <w:bCs/>
          <w:color w:val="0A2148"/>
          <w:sz w:val="24"/>
          <w:szCs w:val="24"/>
        </w:rPr>
        <w:t xml:space="preserve">VI. Dépôt de garantie</w:t>
      </w:r>
    </w:p>
    <w:p>
      <w:pPr>
        <w:spacing w:after="120"/>
      </w:pPr>
      <w:r>
        <w:rPr>
          <w:rFonts w:ascii="Calibri" w:cs="Calibri" w:eastAsia="Calibri" w:hAnsi="Calibri"/>
          <w:color w:val="1F2A37"/>
          <w:sz w:val="21"/>
          <w:szCs w:val="21"/>
        </w:rPr>
        <w:t xml:space="preserve">Le dépôt de garantie ne peut excéder deux mois de loyer hors charges pour une location meublée. Il est restitué dans un délai maximal d'un mois (ou deux mois en cas de retenues justifiées) après la remise des clés.</w:t>
      </w:r>
    </w:p>
    <w:p>
      <w:pPr>
        <w:spacing w:after="110"/>
      </w:pPr>
      <w:r>
        <w:rPr>
          <w:rFonts w:ascii="Calibri" w:cs="Calibri" w:eastAsia="Calibri" w:hAnsi="Calibri"/>
          <w:b/>
          <w:bCs/>
          <w:color w:val="0A2148"/>
          <w:sz w:val="21"/>
          <w:szCs w:val="21"/>
        </w:rPr>
        <w:t xml:space="preserve">Montant du dépôt de garantie (€) : </w:t>
      </w:r>
      <w:r>
        <w:rPr>
          <w:rFonts w:ascii="Calibri" w:cs="Calibri" w:eastAsia="Calibri" w:hAnsi="Calibri"/>
          <w:color w:val="9AA3B2"/>
          <w:sz w:val="21"/>
          <w:szCs w:val="21"/>
        </w:rPr>
        <w:t xml:space="preserve">………………………………………………………………</w:t>
      </w:r>
    </w:p>
    <w:p>
      <w:pPr>
        <w:spacing w:after="90" w:before="220"/>
      </w:pPr>
      <w:r>
        <w:rPr>
          <w:rFonts w:ascii="Calibri" w:cs="Calibri" w:eastAsia="Calibri" w:hAnsi="Calibri"/>
          <w:b/>
          <w:bCs/>
          <w:color w:val="0A2148"/>
          <w:sz w:val="24"/>
          <w:szCs w:val="24"/>
        </w:rPr>
        <w:t xml:space="preserve">VII. Mobilier et état des lieux</w:t>
      </w:r>
    </w:p>
    <w:p>
      <w:pPr>
        <w:spacing w:after="120"/>
      </w:pPr>
      <w:r>
        <w:rPr>
          <w:rFonts w:ascii="Calibri" w:cs="Calibri" w:eastAsia="Calibri" w:hAnsi="Calibri"/>
          <w:color w:val="1F2A37"/>
          <w:sz w:val="21"/>
          <w:szCs w:val="21"/>
        </w:rPr>
        <w:t xml:space="preserve">Le logement est loué meublé et comporte l'ensemble des éléments prévus par le décret n° 2015-981 du 31 juillet 2015. Un inventaire du mobilier et un état des lieux d'entrée sont établis contradictoirement et annexés au présent contrat.</w:t>
      </w:r>
    </w:p>
    <w:p>
      <w:pPr>
        <w:spacing w:after="90" w:before="220"/>
      </w:pPr>
      <w:r>
        <w:rPr>
          <w:rFonts w:ascii="Calibri" w:cs="Calibri" w:eastAsia="Calibri" w:hAnsi="Calibri"/>
          <w:b/>
          <w:bCs/>
          <w:color w:val="0A2148"/>
          <w:sz w:val="24"/>
          <w:szCs w:val="24"/>
        </w:rPr>
        <w:t xml:space="preserve">VIII. Annexes obligatoires</w:t>
      </w:r>
    </w:p>
    <w:p>
      <w:pPr>
        <w:pStyle w:val="ListParagraph"/>
        <w:numPr>
          <w:ilvl w:val="0"/>
          <w:numId w:val="1"/>
        </w:numPr>
        <w:spacing w:after="60"/>
      </w:pPr>
      <w:r>
        <w:rPr>
          <w:rFonts w:ascii="Calibri" w:cs="Calibri" w:eastAsia="Calibri" w:hAnsi="Calibri"/>
          <w:color w:val="1F2A37"/>
          <w:sz w:val="21"/>
          <w:szCs w:val="21"/>
        </w:rPr>
        <w:t xml:space="preserve">Dossier de diagnostic technique (DPE, CREP/plomb, amiante, état de l'installation électrique et gaz le cas échéant).</w:t>
      </w:r>
    </w:p>
    <w:p>
      <w:pPr>
        <w:pStyle w:val="ListParagraph"/>
        <w:numPr>
          <w:ilvl w:val="0"/>
          <w:numId w:val="1"/>
        </w:numPr>
        <w:spacing w:after="60"/>
      </w:pPr>
      <w:r>
        <w:rPr>
          <w:rFonts w:ascii="Calibri" w:cs="Calibri" w:eastAsia="Calibri" w:hAnsi="Calibri"/>
          <w:color w:val="1F2A37"/>
          <w:sz w:val="21"/>
          <w:szCs w:val="21"/>
        </w:rPr>
        <w:t xml:space="preserve">État des risques et pollutions (ERP).</w:t>
      </w:r>
    </w:p>
    <w:p>
      <w:pPr>
        <w:pStyle w:val="ListParagraph"/>
        <w:numPr>
          <w:ilvl w:val="0"/>
          <w:numId w:val="1"/>
        </w:numPr>
        <w:spacing w:after="60"/>
      </w:pPr>
      <w:r>
        <w:rPr>
          <w:rFonts w:ascii="Calibri" w:cs="Calibri" w:eastAsia="Calibri" w:hAnsi="Calibri"/>
          <w:color w:val="1F2A37"/>
          <w:sz w:val="21"/>
          <w:szCs w:val="21"/>
        </w:rPr>
        <w:t xml:space="preserve">Notice d'information relative aux droits et obligations des locataires et bailleurs.</w:t>
      </w:r>
    </w:p>
    <w:p>
      <w:pPr>
        <w:pStyle w:val="ListParagraph"/>
        <w:numPr>
          <w:ilvl w:val="0"/>
          <w:numId w:val="1"/>
        </w:numPr>
        <w:spacing w:after="60"/>
      </w:pPr>
      <w:r>
        <w:rPr>
          <w:rFonts w:ascii="Calibri" w:cs="Calibri" w:eastAsia="Calibri" w:hAnsi="Calibri"/>
          <w:color w:val="1F2A37"/>
          <w:sz w:val="21"/>
          <w:szCs w:val="21"/>
        </w:rPr>
        <w:t xml:space="preserve">Inventaire et état détaillé du mobilier.</w:t>
      </w:r>
    </w:p>
    <w:p>
      <w:pPr>
        <w:pStyle w:val="ListParagraph"/>
        <w:numPr>
          <w:ilvl w:val="0"/>
          <w:numId w:val="1"/>
        </w:numPr>
        <w:spacing w:after="60"/>
      </w:pPr>
      <w:r>
        <w:rPr>
          <w:rFonts w:ascii="Calibri" w:cs="Calibri" w:eastAsia="Calibri" w:hAnsi="Calibri"/>
          <w:color w:val="1F2A37"/>
          <w:sz w:val="21"/>
          <w:szCs w:val="21"/>
        </w:rPr>
        <w:t xml:space="preserve">État des lieux d'entrée.</w:t>
      </w:r>
    </w:p>
    <w:p>
      <w:pPr>
        <w:pStyle w:val="ListParagraph"/>
        <w:numPr>
          <w:ilvl w:val="0"/>
          <w:numId w:val="1"/>
        </w:numPr>
        <w:spacing w:after="60"/>
      </w:pPr>
      <w:r>
        <w:rPr>
          <w:rFonts w:ascii="Calibri" w:cs="Calibri" w:eastAsia="Calibri" w:hAnsi="Calibri"/>
          <w:color w:val="1F2A37"/>
          <w:sz w:val="21"/>
          <w:szCs w:val="21"/>
        </w:rPr>
        <w:t xml:space="preserve">Le cas échéant, extraits du règlement de copropriété.</w:t>
      </w:r>
    </w:p>
    <w:p>
      <w:pPr>
        <w:pStyle w:val="ListParagraph"/>
        <w:numPr>
          <w:ilvl w:val="0"/>
          <w:numId w:val="1"/>
        </w:numPr>
        <w:spacing w:after="60"/>
      </w:pPr>
      <w:r>
        <w:rPr>
          <w:rFonts w:ascii="Calibri" w:cs="Calibri" w:eastAsia="Calibri" w:hAnsi="Calibri"/>
          <w:color w:val="1F2A37"/>
          <w:sz w:val="21"/>
          <w:szCs w:val="21"/>
        </w:rPr>
        <w:t xml:space="preserve">Attestation d'assurance habitation du locataire.</w:t>
      </w:r>
    </w:p>
    <w:p>
      <w:pPr>
        <w:spacing w:after="90" w:before="220"/>
      </w:pPr>
      <w:r>
        <w:rPr>
          <w:rFonts w:ascii="Calibri" w:cs="Calibri" w:eastAsia="Calibri" w:hAnsi="Calibri"/>
          <w:b/>
          <w:bCs/>
          <w:color w:val="0A2148"/>
          <w:sz w:val="24"/>
          <w:szCs w:val="24"/>
        </w:rPr>
        <w:t xml:space="preserve">IX. Clauses particulières</w:t>
      </w:r>
    </w:p>
    <w:p>
      <w:pPr>
        <w:spacing w:after="110"/>
      </w:pPr>
      <w:r>
        <w:rPr>
          <w:rFonts w:ascii="Calibri" w:cs="Calibri" w:eastAsia="Calibri" w:hAnsi="Calibri"/>
          <w:b/>
          <w:bCs/>
          <w:color w:val="0A2148"/>
          <w:sz w:val="21"/>
          <w:szCs w:val="21"/>
        </w:rPr>
        <w:t xml:space="preserve">Clause de solidarité, animaux, travaux, assurance… (à préciser) : </w:t>
      </w:r>
      <w:r>
        <w:rPr>
          <w:rFonts w:ascii="Calibri" w:cs="Calibri" w:eastAsia="Calibri" w:hAnsi="Calibri"/>
          <w:color w:val="9AA3B2"/>
          <w:sz w:val="21"/>
          <w:szCs w:val="21"/>
        </w:rPr>
        <w:t xml:space="preserve">………………………………………………………………</w:t>
      </w:r>
    </w:p>
    <w:p>
      <w:r>
        <w:t xml:space="preserve"/>
      </w:r>
    </w:p>
    <w:p>
      <w:pPr>
        <w:spacing w:after="260"/>
      </w:pPr>
      <w:r>
        <w:rPr>
          <w:rFonts w:ascii="Calibri" w:cs="Calibri" w:eastAsia="Calibri" w:hAnsi="Calibri"/>
          <w:color w:val="1F2A37"/>
          <w:sz w:val="21"/>
          <w:szCs w:val="21"/>
        </w:rPr>
        <w:t xml:space="preserve">Fait à …………………………, le ……………………, en deux exemplaires originaux.</w:t>
      </w:r>
    </w:p>
    <w:tbl>
      <w:tblPr>
        <w:tblW w:type="dxa" w:w="9360"/>
        <w:tblBorders>
          <w:top w:val="none"/>
          <w:left w:val="none"/>
          <w:bottom w:val="none"/>
          <w:right w:val="none"/>
          <w:insideH w:val="none"/>
          <w:insideV w:val="none"/>
        </w:tblBorders>
      </w:tblPr>
      <w:tblGrid>
        <w:gridCol w:w="4680"/>
        <w:gridCol w:w="4680"/>
      </w:tblGrid>
      <w:tr>
        <w:tc>
          <w:tcPr>
            <w:tcW w:type="dxa" w:w="4680"/>
          </w:tcPr>
          <w:p>
            <w:pPr>
              <w:spacing w:after="20"/>
            </w:pPr>
            <w:r>
              <w:rPr>
                <w:rFonts w:ascii="Calibri" w:cs="Calibri" w:eastAsia="Calibri" w:hAnsi="Calibri"/>
                <w:b/>
                <w:bCs/>
                <w:color w:val="1F2A37"/>
                <w:sz w:val="21"/>
                <w:szCs w:val="21"/>
              </w:rPr>
              <w:t xml:space="preserve">Le bailleur</w:t>
            </w:r>
          </w:p>
          <w:p>
            <w:pPr>
              <w:spacing w:after="400"/>
            </w:pPr>
            <w:r>
              <w:rPr>
                <w:rFonts w:ascii="Calibri" w:cs="Calibri" w:eastAsia="Calibri" w:hAnsi="Calibri"/>
                <w:color w:val="6B7688"/>
                <w:sz w:val="16"/>
                <w:szCs w:val="16"/>
              </w:rPr>
              <w:t xml:space="preserve">Signature (précédée de « Lu et approuvé »)</w:t>
            </w:r>
          </w:p>
        </w:tc>
        <w:tc>
          <w:tcPr>
            <w:tcW w:type="dxa" w:w="4680"/>
          </w:tcPr>
          <w:p>
            <w:pPr>
              <w:spacing w:after="20"/>
            </w:pPr>
            <w:r>
              <w:rPr>
                <w:rFonts w:ascii="Calibri" w:cs="Calibri" w:eastAsia="Calibri" w:hAnsi="Calibri"/>
                <w:b/>
                <w:bCs/>
                <w:color w:val="1F2A37"/>
                <w:sz w:val="21"/>
                <w:szCs w:val="21"/>
              </w:rPr>
              <w:t xml:space="preserve">Le locataire</w:t>
            </w:r>
          </w:p>
          <w:p>
            <w:pPr>
              <w:spacing w:after="400"/>
            </w:pPr>
            <w:r>
              <w:rPr>
                <w:rFonts w:ascii="Calibri" w:cs="Calibri" w:eastAsia="Calibri" w:hAnsi="Calibri"/>
                <w:color w:val="6B7688"/>
                <w:sz w:val="16"/>
                <w:szCs w:val="16"/>
              </w:rPr>
              <w:t xml:space="preserve">Signature (précédée de « Lu et approuvé »)</w:t>
            </w:r>
          </w:p>
        </w:tc>
      </w:tr>
    </w:tbl>
    <w:sectPr>
      <w:footerReference w:type="default" r:id="rId7"/>
      <w:pgSz w:w="11906" w:h="16838" w:orient="portrait"/>
      <w:pgMar w:top="1200" w:right="1200" w:bottom="11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9DEE7" w:sz="6" w:space="4"/>
      </w:pBdr>
      <w:spacing w:before="60"/>
    </w:pPr>
    <w:r>
      <w:rPr>
        <w:rFonts w:ascii="Calibri" w:cs="Calibri" w:eastAsia="Calibri" w:hAnsi="Calibri"/>
        <w:i/>
        <w:iCs/>
        <w:color w:val="6B7688"/>
        <w:sz w:val="14"/>
        <w:szCs w:val="14"/>
      </w:rPr>
      <w:t xml:space="preserve">Modèle indicatif fourni à titre informatif (loi n° 89-462 du 6 juillet 1989 ; décret n° 2015-587 du 29 mai 2015 ; décret n° 2015-981 du 31 juillet 2015). À adapter à votre situation ; ne constitue pas un conseil juridique personnalisé.</w:t>
    </w:r>
  </w:p>
  <w:p>
    <w:pPr>
      <w:jc w:val="right"/>
    </w:pPr>
    <w:r>
      <w:rPr>
        <w:rFonts w:ascii="Calibri" w:cs="Calibri" w:eastAsia="Calibri" w:hAnsi="Calibri"/>
        <w:color w:val="6B7688"/>
        <w:sz w:val="14"/>
        <w:szCs w:val="14"/>
      </w:rPr>
      <w:t xml:space="preserve">Page </w:t>
    </w:r>
    <w:r>
      <w:rPr>
        <w:rFonts w:ascii="Calibri" w:cs="Calibri" w:eastAsia="Calibri" w:hAnsi="Calibri"/>
        <w:color w:val="6B7688"/>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2026-07-22T13:41:10.931Z</dcterms:created>
  <dcterms:modified xsi:type="dcterms:W3CDTF">2026-07-22T13:41:10.946Z</dcterms:modified>
</cp:coreProperties>
</file>

<file path=docProps/custom.xml><?xml version="1.0" encoding="utf-8"?>
<Properties xmlns="http://schemas.openxmlformats.org/officeDocument/2006/custom-properties" xmlns:vt="http://schemas.openxmlformats.org/officeDocument/2006/docPropsVTypes"/>
</file>