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0A2148"/>
          <w:sz w:val="34"/>
          <w:szCs w:val="34"/>
        </w:rPr>
        <w:t xml:space="preserve">Contrat de location meublée étudiant</w:t>
      </w:r>
    </w:p>
    <w:p>
      <w:pPr>
        <w:pBdr>
          <w:bottom w:val="single" w:color="C9A227" w:sz="12" w:space="6"/>
        </w:pBdr>
        <w:spacing w:after="220"/>
      </w:pPr>
      <w:r>
        <w:rPr>
          <w:rFonts w:ascii="Calibri" w:cs="Calibri" w:eastAsia="Calibri" w:hAnsi="Calibri"/>
          <w:caps/>
          <w:color w:val="6B7688"/>
          <w:spacing w:val="30"/>
          <w:sz w:val="18"/>
          <w:szCs w:val="18"/>
        </w:rPr>
        <w:t xml:space="preserve">Bail meublé étudiant · durée 9 mois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688"/>
          <w:sz w:val="18"/>
          <w:szCs w:val="18"/>
        </w:rPr>
        <w:t xml:space="preserve">Bail meublé conclu avec un locataire étudiant, d'une durée de neuf mois non reconductible tacitement (art. 25-7 de la loi n° 89-462). À l'échéance, un nouveau bail doit être signé si la location se poursuit.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I. Parties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Le bailleur (nom, adresse)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Le locataire étudiant (nom, établissement)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II. Logement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Adresse du logement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Type et surface habitable (m²)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III. Durée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Le présent bail est conclu pour neuf mois, non reconductible par tacite reconduction. Le locataire peut résilier à tout moment avec un préavis d'un mois.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Date de prise d'effet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Date d'échéance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IV. Conditions financières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Loyer mensuel hors charges (€)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Charges (provision ou forfait) (€)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Dépôt de garantie (max 2 mois de loyer H.C.) (€)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V. Mobilier, état des lieux et annexes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Le logement comporte les meubles obligatoires du décret n° 2015-981. Sont annexés : inventaire du mobilier, état des lieux d'entrée, dossier de diagnostic technique, notice d'information, attestation d'assurance du locataire.</w:t>
      </w:r>
    </w:p>
    <w:p>
      <w:r>
        <w:t xml:space="preserve"/>
      </w:r>
    </w:p>
    <w:p>
      <w:pPr>
        <w:spacing w:after="26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Fait à …………………………, le ……………………, en deux exemplaires.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bailleur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(« Lu et approuvé »)</w:t>
            </w:r>
          </w:p>
        </w:tc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locataire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(« Lu et approuvé »)</w:t>
            </w:r>
          </w:p>
        </w:tc>
      </w:tr>
    </w:tbl>
    <w:sectPr>
      <w:footerReference w:type="default" r:id="rId7"/>
      <w:pgSz w:w="11906" w:h="16838" w:orient="portrait"/>
      <w:pgMar w:top="12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EE7" w:sz="6" w:space="4"/>
      </w:pBdr>
      <w:spacing w:before="60"/>
    </w:pPr>
    <w:r>
      <w:rPr>
        <w:rFonts w:ascii="Calibri" w:cs="Calibri" w:eastAsia="Calibri" w:hAnsi="Calibri"/>
        <w:i/>
        <w:iCs/>
        <w:color w:val="6B7688"/>
        <w:sz w:val="14"/>
        <w:szCs w:val="14"/>
      </w:rPr>
      <w:t xml:space="preserve">Modèle indicatif fourni à titre informatif (loi n° 89-462 du 6 juillet 1989 ; décret n° 2015-587 du 29 mai 2015 ; loi ELAN n° 2018-1021 pour le bail mobilité). À adapter à votre situation ; ne constitue pas un conseil juridique personnalisé.</w:t>
    </w:r>
  </w:p>
  <w:p>
    <w:pPr>
      <w:jc w:val="right"/>
    </w:pPr>
    <w:r>
      <w:rPr>
        <w:rFonts w:ascii="Calibri" w:cs="Calibri" w:eastAsia="Calibri" w:hAnsi="Calibri"/>
        <w:color w:val="6B7688"/>
        <w:sz w:val="14"/>
        <w:szCs w:val="14"/>
      </w:rPr>
      <w:t xml:space="preserve">Page </w:t>
    </w:r>
    <w:r>
      <w:rPr>
        <w:rFonts w:ascii="Calibri" w:cs="Calibri" w:eastAsia="Calibri" w:hAnsi="Calibri"/>
        <w:color w:val="6B76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2026-07-22T13:41:11.340Z</dcterms:created>
  <dcterms:modified xsi:type="dcterms:W3CDTF">2026-07-22T13:41:11.340Z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